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v:background id="_x0000_s1025" o:bwmode="white" fillcolor="#fc9">
      <v:fill r:id="rId4" o:title="Papiro" type="tile"/>
    </v:background>
  </w:background>
  <w:body>
    <w:p w:rsidR="00AF1A93" w:rsidRPr="00E64DB8" w:rsidRDefault="00E64DB8" w:rsidP="00486D59">
      <w:pPr>
        <w:spacing w:before="240" w:after="120"/>
        <w:jc w:val="right"/>
        <w:rPr>
          <w:rFonts w:asciiTheme="minorHAnsi" w:hAnsiTheme="minorHAnsi" w:cstheme="minorHAnsi"/>
          <w:bCs/>
          <w:i/>
          <w:color w:val="000000"/>
          <w:sz w:val="24"/>
          <w:szCs w:val="24"/>
          <w:shd w:val="clear" w:color="auto" w:fill="FFFFFF"/>
          <w:lang w:val="gl-ES"/>
        </w:rPr>
      </w:pPr>
      <w:r w:rsidRPr="00E64DB8">
        <w:rPr>
          <w:rFonts w:asciiTheme="minorHAnsi" w:hAnsiTheme="minorHAnsi" w:cstheme="minorHAnsi"/>
          <w:bCs/>
          <w:i/>
          <w:color w:val="000000"/>
          <w:sz w:val="24"/>
          <w:szCs w:val="24"/>
          <w:shd w:val="clear" w:color="auto" w:fill="FFFFFF"/>
          <w:lang w:val="gl-ES"/>
        </w:rPr>
        <w:t>Novembro 2021</w:t>
      </w:r>
    </w:p>
    <w:tbl>
      <w:tblPr>
        <w:tblpPr w:leftFromText="141" w:rightFromText="141" w:vertAnchor="text" w:horzAnchor="margin" w:tblpY="66"/>
        <w:tblW w:w="0" w:type="auto"/>
        <w:shd w:val="clear" w:color="auto" w:fill="FF0000"/>
        <w:tblLook w:val="04A0" w:firstRow="1" w:lastRow="0" w:firstColumn="1" w:lastColumn="0" w:noHBand="0" w:noVBand="1"/>
      </w:tblPr>
      <w:tblGrid>
        <w:gridCol w:w="9781"/>
      </w:tblGrid>
      <w:tr w:rsidR="00486D59" w:rsidRPr="00E64DB8" w:rsidTr="00387638">
        <w:trPr>
          <w:trHeight w:val="568"/>
        </w:trPr>
        <w:tc>
          <w:tcPr>
            <w:tcW w:w="9889" w:type="dxa"/>
            <w:shd w:val="clear" w:color="auto" w:fill="FF0000"/>
            <w:vAlign w:val="center"/>
          </w:tcPr>
          <w:p w:rsidR="00486D59" w:rsidRPr="00E64DB8" w:rsidRDefault="00441F17" w:rsidP="00F81B13">
            <w:pPr>
              <w:widowControl w:val="0"/>
              <w:autoSpaceDE w:val="0"/>
              <w:autoSpaceDN w:val="0"/>
              <w:adjustRightInd w:val="0"/>
              <w:spacing w:before="120" w:after="120" w:line="240" w:lineRule="auto"/>
              <w:jc w:val="center"/>
              <w:rPr>
                <w:rFonts w:asciiTheme="minorHAnsi" w:hAnsiTheme="minorHAnsi" w:cstheme="minorHAnsi"/>
                <w:color w:val="FFFFFF"/>
                <w:sz w:val="48"/>
                <w:szCs w:val="24"/>
                <w:lang w:val="gl-ES"/>
              </w:rPr>
            </w:pPr>
            <w:r w:rsidRPr="00E64DB8">
              <w:rPr>
                <w:rFonts w:asciiTheme="minorHAnsi" w:hAnsiTheme="minorHAnsi" w:cstheme="minorHAnsi"/>
                <w:color w:val="FFFFFF"/>
                <w:sz w:val="48"/>
                <w:szCs w:val="24"/>
                <w:lang w:val="gl-ES"/>
              </w:rPr>
              <w:t>Traballadores dos centros de atención especializada e centros especiais de emprego do Convenio de Discapacidade</w:t>
            </w:r>
          </w:p>
        </w:tc>
      </w:tr>
    </w:tbl>
    <w:p w:rsidR="00441F17" w:rsidRPr="00E64DB8" w:rsidRDefault="00E64DB8" w:rsidP="00441F17">
      <w:pPr>
        <w:spacing w:before="120" w:after="120" w:line="360" w:lineRule="auto"/>
        <w:ind w:right="6"/>
        <w:jc w:val="both"/>
        <w:rPr>
          <w:rFonts w:asciiTheme="minorHAnsi" w:hAnsiTheme="minorHAnsi" w:cstheme="minorHAnsi"/>
          <w:b/>
          <w:bCs/>
          <w:sz w:val="26"/>
          <w:szCs w:val="26"/>
          <w:lang w:val="gl-ES"/>
        </w:rPr>
      </w:pPr>
      <w:r w:rsidRPr="00E64DB8">
        <w:rPr>
          <w:rFonts w:asciiTheme="minorHAnsi" w:hAnsiTheme="minorHAnsi" w:cstheme="minorHAnsi"/>
          <w:b/>
          <w:bCs/>
          <w:sz w:val="26"/>
          <w:szCs w:val="26"/>
          <w:lang w:val="gl-ES"/>
        </w:rPr>
        <w:t>UG</w:t>
      </w:r>
      <w:r w:rsidR="00441F17" w:rsidRPr="00E64DB8">
        <w:rPr>
          <w:rFonts w:asciiTheme="minorHAnsi" w:hAnsiTheme="minorHAnsi" w:cstheme="minorHAnsi"/>
          <w:b/>
          <w:bCs/>
          <w:sz w:val="26"/>
          <w:szCs w:val="26"/>
          <w:lang w:val="gl-ES"/>
        </w:rPr>
        <w:t>T Servizos Públicos lémbrache que, o artigo 32 do XV Convenio Colectivo Xeneral de centros e servizos de atención a persoas con discapacidade, xa fixaba os incrementos salariais para os centros de atención especializada e centros especiais de emprego a partir de 2022 e para un período de tres anos.</w:t>
      </w:r>
    </w:p>
    <w:p w:rsidR="00441F17" w:rsidRPr="00E64DB8" w:rsidRDefault="00441F17" w:rsidP="00441F17">
      <w:pPr>
        <w:spacing w:before="120" w:after="120" w:line="360" w:lineRule="auto"/>
        <w:ind w:right="6"/>
        <w:jc w:val="both"/>
        <w:rPr>
          <w:rFonts w:asciiTheme="minorHAnsi" w:hAnsiTheme="minorHAnsi" w:cstheme="minorHAnsi"/>
          <w:bCs/>
          <w:i/>
          <w:sz w:val="26"/>
          <w:szCs w:val="26"/>
          <w:lang w:val="gl-ES"/>
        </w:rPr>
      </w:pPr>
      <w:r w:rsidRPr="00E64DB8">
        <w:rPr>
          <w:rFonts w:asciiTheme="minorHAnsi" w:hAnsiTheme="minorHAnsi" w:cstheme="minorHAnsi"/>
          <w:bCs/>
          <w:i/>
          <w:sz w:val="26"/>
          <w:szCs w:val="26"/>
          <w:lang w:val="gl-ES"/>
        </w:rPr>
        <w:t>Artigo 32.</w:t>
      </w:r>
    </w:p>
    <w:p w:rsidR="00441F17" w:rsidRPr="00E64DB8" w:rsidRDefault="00441F17" w:rsidP="00441F17">
      <w:pPr>
        <w:spacing w:before="120" w:after="120" w:line="360" w:lineRule="auto"/>
        <w:ind w:right="6"/>
        <w:jc w:val="both"/>
        <w:rPr>
          <w:rFonts w:asciiTheme="minorHAnsi" w:hAnsiTheme="minorHAnsi" w:cstheme="minorHAnsi"/>
          <w:bCs/>
          <w:i/>
          <w:sz w:val="26"/>
          <w:szCs w:val="26"/>
          <w:lang w:val="gl-ES"/>
        </w:rPr>
      </w:pPr>
      <w:r w:rsidRPr="00E64DB8">
        <w:rPr>
          <w:rFonts w:asciiTheme="minorHAnsi" w:hAnsiTheme="minorHAnsi" w:cstheme="minorHAnsi"/>
          <w:bCs/>
          <w:i/>
          <w:sz w:val="26"/>
          <w:szCs w:val="26"/>
          <w:lang w:val="gl-ES"/>
        </w:rPr>
        <w:t>Finalizada a vixencia do Convenio, as táboas fixadas no presente Convenio actualizaranse como determinen as partes negociadoras para períodos sucesivos de tres anos conforme ao IPC acumulado no período anterior garantíndose en calquera caso un incremento mínimo do 3,75 % para o período de tres anos, sobre o salario basee, independentemente da evolución do IPC. No caso de que as partes non logren un acordo no prazo de tres meses procederase á actualización das mencionadas táboas aplicando un 50 % da porcentaxe correspondente ao IPC acumulado ao incremento do salario basee e outro 50 % ao incremento por igual dos niveis de desenvolvemento, garantíndose en todo caso un incremento mínimo do 3,75 % sobre o salario base.</w:t>
      </w:r>
    </w:p>
    <w:p w:rsidR="00441F17" w:rsidRPr="00E64DB8" w:rsidRDefault="00441F17" w:rsidP="00441F17">
      <w:pPr>
        <w:spacing w:before="120" w:after="120" w:line="360" w:lineRule="auto"/>
        <w:ind w:right="6"/>
        <w:jc w:val="both"/>
        <w:rPr>
          <w:rFonts w:asciiTheme="minorHAnsi" w:hAnsiTheme="minorHAnsi" w:cstheme="minorHAnsi"/>
          <w:b/>
          <w:bCs/>
          <w:sz w:val="26"/>
          <w:szCs w:val="26"/>
          <w:lang w:val="gl-ES"/>
        </w:rPr>
      </w:pPr>
      <w:r w:rsidRPr="00E64DB8">
        <w:rPr>
          <w:rFonts w:asciiTheme="minorHAnsi" w:hAnsiTheme="minorHAnsi" w:cstheme="minorHAnsi"/>
          <w:b/>
          <w:bCs/>
          <w:sz w:val="26"/>
          <w:szCs w:val="26"/>
          <w:lang w:val="gl-ES"/>
        </w:rPr>
        <w:t>Por tanto, a partir de xaneiro de 2022, aínda que deben de asinarse na Mesa Negociadora e publicarse no Boletín Oficial do Estado, os traballadores verán incrementados os salarios da seguinte maneira:</w:t>
      </w:r>
    </w:p>
    <w:p w:rsidR="00441F17" w:rsidRPr="00E64DB8" w:rsidRDefault="00441F17" w:rsidP="00441F17">
      <w:pPr>
        <w:spacing w:before="120" w:after="120" w:line="360" w:lineRule="auto"/>
        <w:ind w:right="6"/>
        <w:jc w:val="both"/>
        <w:rPr>
          <w:rFonts w:asciiTheme="minorHAnsi" w:hAnsiTheme="minorHAnsi" w:cstheme="minorHAnsi"/>
          <w:i/>
          <w:color w:val="000000"/>
          <w:sz w:val="26"/>
          <w:szCs w:val="26"/>
          <w:lang w:val="gl-ES" w:eastAsia="en-US"/>
        </w:rPr>
      </w:pPr>
      <w:r w:rsidRPr="00E64DB8">
        <w:rPr>
          <w:rFonts w:asciiTheme="minorHAnsi" w:hAnsiTheme="minorHAnsi" w:cstheme="minorHAnsi"/>
          <w:i/>
          <w:color w:val="000000"/>
          <w:sz w:val="26"/>
          <w:szCs w:val="26"/>
          <w:lang w:val="gl-ES" w:eastAsia="en-US"/>
        </w:rPr>
        <w:t xml:space="preserve">Os traballadores que se incorporaron á empresa con anterioridade ao 1 de xullo de 2016, desde o 1 de xaneiro de 2019 deben de estar a percibir, ademais do salario basee que aparece </w:t>
      </w:r>
      <w:r w:rsidRPr="00E64DB8">
        <w:rPr>
          <w:rFonts w:asciiTheme="minorHAnsi" w:hAnsiTheme="minorHAnsi" w:cstheme="minorHAnsi"/>
          <w:i/>
          <w:color w:val="000000"/>
          <w:sz w:val="26"/>
          <w:szCs w:val="26"/>
          <w:lang w:val="gl-ES" w:eastAsia="en-US"/>
        </w:rPr>
        <w:lastRenderedPageBreak/>
        <w:t xml:space="preserve">no Anexo III correspondente ao seu grupo profesional, o Complemento de Desenvolvemento e Perfeccionamento Profesional do primeiro nivel ( N1) cuxa contía é do 7,5% do salario base. </w:t>
      </w:r>
    </w:p>
    <w:p w:rsidR="00441F17" w:rsidRPr="00E64DB8" w:rsidRDefault="00441F17" w:rsidP="00441F17">
      <w:pPr>
        <w:spacing w:before="120" w:after="120" w:line="360" w:lineRule="auto"/>
        <w:ind w:right="6"/>
        <w:jc w:val="both"/>
        <w:rPr>
          <w:rFonts w:asciiTheme="minorHAnsi" w:hAnsiTheme="minorHAnsi" w:cstheme="minorHAnsi"/>
          <w:i/>
          <w:color w:val="000000"/>
          <w:sz w:val="26"/>
          <w:szCs w:val="26"/>
          <w:lang w:val="gl-ES" w:eastAsia="en-US"/>
        </w:rPr>
      </w:pPr>
      <w:r w:rsidRPr="00E64DB8">
        <w:rPr>
          <w:rFonts w:asciiTheme="minorHAnsi" w:hAnsiTheme="minorHAnsi" w:cstheme="minorHAnsi"/>
          <w:i/>
          <w:color w:val="000000"/>
          <w:sz w:val="26"/>
          <w:szCs w:val="26"/>
          <w:lang w:val="gl-ES" w:eastAsia="en-US"/>
        </w:rPr>
        <w:t>Estes traballadores para partir do 1 de xaneiro de 2022, ademais de ver actualizado o salario base, atendendo ao que di o artigo 32 do convenio, deberán percibir o complemento de Desenvolvemento e perfeccionamento Profesional do segundo nivel (N2) cuxa contía é do 5,5% do salario base que se estableza en cada momento.</w:t>
      </w:r>
    </w:p>
    <w:p w:rsidR="00441F17" w:rsidRPr="00E64DB8" w:rsidRDefault="00441F17" w:rsidP="00E64DB8">
      <w:pPr>
        <w:spacing w:before="120" w:after="120" w:line="360" w:lineRule="auto"/>
        <w:ind w:right="6"/>
        <w:jc w:val="center"/>
        <w:rPr>
          <w:rFonts w:asciiTheme="minorHAnsi" w:hAnsiTheme="minorHAnsi" w:cstheme="minorHAnsi"/>
          <w:b/>
          <w:bCs/>
          <w:sz w:val="26"/>
          <w:szCs w:val="26"/>
          <w:lang w:val="gl-ES"/>
        </w:rPr>
      </w:pPr>
      <w:r w:rsidRPr="00E64DB8">
        <w:rPr>
          <w:rFonts w:asciiTheme="minorHAnsi" w:hAnsiTheme="minorHAnsi" w:cstheme="minorHAnsi"/>
          <w:b/>
          <w:i/>
          <w:color w:val="000000"/>
          <w:sz w:val="26"/>
          <w:szCs w:val="26"/>
          <w:lang w:val="gl-ES" w:eastAsia="en-US"/>
        </w:rPr>
        <w:t>Salario base+ N1+ N2</w:t>
      </w:r>
    </w:p>
    <w:p w:rsidR="00441F17" w:rsidRPr="00E64DB8" w:rsidRDefault="00441F17" w:rsidP="00441F17">
      <w:pPr>
        <w:spacing w:before="120" w:after="120" w:line="360" w:lineRule="auto"/>
        <w:ind w:right="6"/>
        <w:jc w:val="both"/>
        <w:rPr>
          <w:rFonts w:asciiTheme="minorHAnsi" w:hAnsiTheme="minorHAnsi" w:cstheme="minorHAnsi"/>
          <w:i/>
          <w:color w:val="000000"/>
          <w:sz w:val="26"/>
          <w:szCs w:val="26"/>
          <w:lang w:val="gl-ES" w:eastAsia="en-US"/>
        </w:rPr>
      </w:pPr>
      <w:r w:rsidRPr="00E64DB8">
        <w:rPr>
          <w:rFonts w:asciiTheme="minorHAnsi" w:hAnsiTheme="minorHAnsi" w:cstheme="minorHAnsi"/>
          <w:i/>
          <w:color w:val="000000"/>
          <w:sz w:val="26"/>
          <w:szCs w:val="26"/>
          <w:lang w:val="gl-ES" w:eastAsia="en-US"/>
        </w:rPr>
        <w:t>Os traballadores que se incorporaron á empresa con posterioridade ao 1 de xullo de 2016, desde o 1 de xaneiro de 2022 deberán percibir, ademais do salario base correspondente ao seu grupo profesional, o Complemento de Desenvolvemento e Perfeccionamento Profesional do primeiro nivel (N1) cuxa contía é do 7,5% do salario bas</w:t>
      </w:r>
      <w:r w:rsidR="00E64DB8" w:rsidRPr="00E64DB8">
        <w:rPr>
          <w:rFonts w:asciiTheme="minorHAnsi" w:hAnsiTheme="minorHAnsi" w:cstheme="minorHAnsi"/>
          <w:i/>
          <w:color w:val="000000"/>
          <w:sz w:val="26"/>
          <w:szCs w:val="26"/>
          <w:lang w:val="gl-ES" w:eastAsia="en-US"/>
        </w:rPr>
        <w:t>e.</w:t>
      </w:r>
    </w:p>
    <w:p w:rsidR="00441F17" w:rsidRPr="00E64DB8" w:rsidRDefault="00441F17" w:rsidP="00E64DB8">
      <w:pPr>
        <w:spacing w:before="120" w:after="120" w:line="360" w:lineRule="auto"/>
        <w:ind w:right="6"/>
        <w:jc w:val="center"/>
        <w:rPr>
          <w:rFonts w:asciiTheme="minorHAnsi" w:hAnsiTheme="minorHAnsi" w:cstheme="minorHAnsi"/>
          <w:b/>
          <w:bCs/>
          <w:sz w:val="26"/>
          <w:szCs w:val="26"/>
          <w:lang w:val="gl-ES"/>
        </w:rPr>
      </w:pPr>
      <w:r w:rsidRPr="00E64DB8">
        <w:rPr>
          <w:rFonts w:asciiTheme="minorHAnsi" w:hAnsiTheme="minorHAnsi" w:cstheme="minorHAnsi"/>
          <w:b/>
          <w:i/>
          <w:color w:val="000000"/>
          <w:sz w:val="26"/>
          <w:szCs w:val="26"/>
          <w:lang w:val="gl-ES" w:eastAsia="en-US"/>
        </w:rPr>
        <w:t>Salario basee + N1</w:t>
      </w:r>
    </w:p>
    <w:p w:rsidR="00441F17" w:rsidRPr="00E64DB8" w:rsidRDefault="00441F17" w:rsidP="00441F17">
      <w:pPr>
        <w:spacing w:before="120" w:after="120" w:line="360" w:lineRule="auto"/>
        <w:ind w:right="6"/>
        <w:jc w:val="both"/>
        <w:rPr>
          <w:rFonts w:asciiTheme="minorHAnsi" w:hAnsiTheme="minorHAnsi" w:cstheme="minorHAnsi"/>
          <w:bCs/>
          <w:i/>
          <w:sz w:val="26"/>
          <w:szCs w:val="26"/>
          <w:lang w:val="gl-ES"/>
        </w:rPr>
      </w:pPr>
      <w:r w:rsidRPr="00E64DB8">
        <w:rPr>
          <w:rFonts w:asciiTheme="minorHAnsi" w:hAnsiTheme="minorHAnsi" w:cstheme="minorHAnsi"/>
          <w:bCs/>
          <w:i/>
          <w:sz w:val="26"/>
          <w:szCs w:val="26"/>
          <w:lang w:val="gl-ES"/>
        </w:rPr>
        <w:t>Os traballadores que se incorporaron á empresa con posterioridade ao 1 de xaneiro de 2019, percibirán o Complemento de Desenvolvemento e Perfeccionamento Profesional do primeiro nivel (N1) cuxa contía é do 7,5% do salario basee, a partir dos tres anos do seu ingreso na empresa.</w:t>
      </w:r>
    </w:p>
    <w:p w:rsidR="00C25BAA" w:rsidRPr="00E64DB8" w:rsidRDefault="00E64DB8" w:rsidP="00441F17">
      <w:pPr>
        <w:spacing w:before="120" w:after="120" w:line="360" w:lineRule="auto"/>
        <w:ind w:right="6"/>
        <w:jc w:val="both"/>
        <w:rPr>
          <w:rFonts w:asciiTheme="minorHAnsi" w:hAnsiTheme="minorHAnsi" w:cstheme="minorHAnsi"/>
          <w:b/>
          <w:bCs/>
          <w:sz w:val="28"/>
          <w:szCs w:val="24"/>
          <w:lang w:val="gl-ES"/>
        </w:rPr>
      </w:pPr>
      <w:r w:rsidRPr="00E64DB8">
        <w:rPr>
          <w:rFonts w:asciiTheme="minorHAnsi" w:hAnsiTheme="minorHAnsi" w:cstheme="minorHAnsi"/>
          <w:b/>
          <w:bCs/>
          <w:sz w:val="28"/>
          <w:szCs w:val="24"/>
          <w:lang w:val="gl-ES"/>
        </w:rPr>
        <w:t>UG</w:t>
      </w:r>
      <w:r w:rsidR="00441F17" w:rsidRPr="00E64DB8">
        <w:rPr>
          <w:rFonts w:asciiTheme="minorHAnsi" w:hAnsiTheme="minorHAnsi" w:cstheme="minorHAnsi"/>
          <w:b/>
          <w:bCs/>
          <w:sz w:val="28"/>
          <w:szCs w:val="24"/>
          <w:lang w:val="gl-ES"/>
        </w:rPr>
        <w:t>T Servizos Públicos seguirá defendendo a necesidade de mellorar o poder adquisitivo de todos os colectivos de traballadores afectados polo Convenio Colectivo Xeneral de centros e servizos de atención a persoas con discapacidade.</w:t>
      </w:r>
    </w:p>
    <w:p w:rsidR="00B45DA8" w:rsidRPr="00441F17" w:rsidRDefault="00B45DA8" w:rsidP="00486D59">
      <w:pPr>
        <w:spacing w:before="120" w:after="120" w:line="360" w:lineRule="auto"/>
        <w:ind w:right="6"/>
        <w:jc w:val="right"/>
        <w:rPr>
          <w:rFonts w:asciiTheme="minorHAnsi" w:hAnsiTheme="minorHAnsi" w:cstheme="minorHAnsi"/>
          <w:b/>
          <w:color w:val="C00000"/>
          <w:sz w:val="24"/>
          <w:szCs w:val="24"/>
          <w:lang w:val="gl-ES"/>
        </w:rPr>
      </w:pPr>
      <w:r w:rsidRPr="00441F17">
        <w:rPr>
          <w:rFonts w:asciiTheme="minorHAnsi" w:hAnsiTheme="minorHAnsi" w:cstheme="minorHAnsi"/>
          <w:b/>
          <w:bCs/>
          <w:color w:val="C00000"/>
          <w:sz w:val="24"/>
          <w:szCs w:val="24"/>
          <w:lang w:val="gl-ES"/>
        </w:rPr>
        <w:t>Sindicato Nacional de Ensino Privado</w:t>
      </w:r>
    </w:p>
    <w:tbl>
      <w:tblPr>
        <w:tblpPr w:leftFromText="141" w:rightFromText="141" w:vertAnchor="text" w:horzAnchor="margin" w:tblpY="303"/>
        <w:tblW w:w="10031" w:type="dxa"/>
        <w:shd w:val="clear" w:color="auto" w:fill="FF0000"/>
        <w:tblLook w:val="04A0" w:firstRow="1" w:lastRow="0" w:firstColumn="1" w:lastColumn="0" w:noHBand="0" w:noVBand="1"/>
      </w:tblPr>
      <w:tblGrid>
        <w:gridCol w:w="10031"/>
      </w:tblGrid>
      <w:tr w:rsidR="00BA4C30" w:rsidRPr="00441F17" w:rsidTr="000152CE">
        <w:trPr>
          <w:trHeight w:val="389"/>
        </w:trPr>
        <w:tc>
          <w:tcPr>
            <w:tcW w:w="10031" w:type="dxa"/>
            <w:shd w:val="clear" w:color="auto" w:fill="FF0000"/>
            <w:vAlign w:val="center"/>
          </w:tcPr>
          <w:p w:rsidR="00BA4C30" w:rsidRPr="00441F17" w:rsidRDefault="00583768" w:rsidP="00D84AF1">
            <w:pPr>
              <w:widowControl w:val="0"/>
              <w:autoSpaceDE w:val="0"/>
              <w:autoSpaceDN w:val="0"/>
              <w:adjustRightInd w:val="0"/>
              <w:spacing w:before="120" w:after="120" w:line="240" w:lineRule="auto"/>
              <w:jc w:val="center"/>
              <w:rPr>
                <w:rFonts w:asciiTheme="minorHAnsi" w:hAnsiTheme="minorHAnsi" w:cstheme="minorHAnsi"/>
                <w:b/>
                <w:color w:val="FFFFFF"/>
                <w:sz w:val="24"/>
                <w:szCs w:val="24"/>
                <w:lang w:val="gl-ES"/>
              </w:rPr>
            </w:pPr>
            <w:r w:rsidRPr="00441F17">
              <w:rPr>
                <w:rFonts w:asciiTheme="minorHAnsi" w:hAnsiTheme="minorHAnsi" w:cstheme="minorHAnsi"/>
                <w:b/>
                <w:color w:val="FFFFFF"/>
                <w:sz w:val="24"/>
                <w:szCs w:val="24"/>
                <w:lang w:val="gl-ES"/>
              </w:rPr>
              <w:t>XUNTOS PODEMOS MÁ</w:t>
            </w:r>
            <w:r w:rsidR="00BA4C30" w:rsidRPr="00441F17">
              <w:rPr>
                <w:rFonts w:asciiTheme="minorHAnsi" w:hAnsiTheme="minorHAnsi" w:cstheme="minorHAnsi"/>
                <w:b/>
                <w:color w:val="FFFFFF"/>
                <w:sz w:val="24"/>
                <w:szCs w:val="24"/>
                <w:lang w:val="gl-ES"/>
              </w:rPr>
              <w:t>IS</w:t>
            </w:r>
          </w:p>
        </w:tc>
      </w:tr>
    </w:tbl>
    <w:p w:rsidR="009727C9" w:rsidRPr="00441F17" w:rsidRDefault="009727C9" w:rsidP="00486D59">
      <w:pPr>
        <w:widowControl w:val="0"/>
        <w:autoSpaceDE w:val="0"/>
        <w:autoSpaceDN w:val="0"/>
        <w:adjustRightInd w:val="0"/>
        <w:spacing w:before="240" w:after="120" w:line="240" w:lineRule="auto"/>
        <w:jc w:val="center"/>
        <w:rPr>
          <w:rFonts w:asciiTheme="minorHAnsi" w:hAnsiTheme="minorHAnsi" w:cstheme="minorHAnsi"/>
          <w:b/>
          <w:color w:val="000000"/>
          <w:sz w:val="24"/>
          <w:szCs w:val="24"/>
          <w:lang w:val="gl-ES"/>
        </w:rPr>
      </w:pPr>
    </w:p>
    <w:sectPr w:rsidR="009727C9" w:rsidRPr="00441F17" w:rsidSect="000152CE">
      <w:headerReference w:type="even" r:id="rId9"/>
      <w:headerReference w:type="default" r:id="rId10"/>
      <w:footerReference w:type="even" r:id="rId11"/>
      <w:footerReference w:type="default" r:id="rId12"/>
      <w:headerReference w:type="first" r:id="rId13"/>
      <w:footerReference w:type="first" r:id="rId14"/>
      <w:type w:val="continuous"/>
      <w:pgSz w:w="11920" w:h="16840"/>
      <w:pgMar w:top="2552" w:right="1005"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D9" w:rsidRDefault="00776CD9" w:rsidP="00AF1A93">
      <w:pPr>
        <w:spacing w:after="0" w:line="240" w:lineRule="auto"/>
      </w:pPr>
      <w:r>
        <w:separator/>
      </w:r>
    </w:p>
  </w:endnote>
  <w:endnote w:type="continuationSeparator" w:id="0">
    <w:p w:rsidR="00776CD9" w:rsidRDefault="00776CD9" w:rsidP="00AF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w:charset w:val="02"/>
    <w:family w:val="auto"/>
    <w:pitch w:val="variable"/>
    <w:sig w:usb0="00000000" w:usb1="10000000" w:usb2="00000000" w:usb3="00000000" w:csb0="80000000" w:csb1="00000000"/>
  </w:font>
  <w:font w:name="L">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1F" w:rsidRDefault="00811F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1F" w:rsidRDefault="00811F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1F" w:rsidRDefault="00811F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D9" w:rsidRDefault="00776CD9" w:rsidP="00AF1A93">
      <w:pPr>
        <w:spacing w:after="0" w:line="240" w:lineRule="auto"/>
      </w:pPr>
      <w:r>
        <w:separator/>
      </w:r>
    </w:p>
  </w:footnote>
  <w:footnote w:type="continuationSeparator" w:id="0">
    <w:p w:rsidR="00776CD9" w:rsidRDefault="00776CD9" w:rsidP="00AF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1F" w:rsidRDefault="00811F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93" w:rsidRDefault="0011077E" w:rsidP="0095758E">
    <w:pPr>
      <w:pStyle w:val="Encabezado"/>
      <w:tabs>
        <w:tab w:val="left" w:pos="615"/>
        <w:tab w:val="right" w:pos="9923"/>
      </w:tabs>
      <w:jc w:val="right"/>
    </w:pPr>
    <w:bookmarkStart w:id="0" w:name="_GoBack"/>
    <w:r w:rsidRPr="00AF1A93">
      <w:rPr>
        <w:noProof/>
      </w:rPr>
      <w:drawing>
        <wp:anchor distT="0" distB="0" distL="114300" distR="114300" simplePos="0" relativeHeight="251659776" behindDoc="1" locked="0" layoutInCell="1" allowOverlap="1">
          <wp:simplePos x="0" y="0"/>
          <wp:positionH relativeFrom="margin">
            <wp:align>right</wp:align>
          </wp:positionH>
          <wp:positionV relativeFrom="paragraph">
            <wp:posOffset>-220980</wp:posOffset>
          </wp:positionV>
          <wp:extent cx="3861435" cy="1041400"/>
          <wp:effectExtent l="0" t="0" r="5715" b="6350"/>
          <wp:wrapTight wrapText="bothSides">
            <wp:wrapPolygon edited="0">
              <wp:start x="0" y="0"/>
              <wp:lineTo x="0" y="21337"/>
              <wp:lineTo x="6713" y="21337"/>
              <wp:lineTo x="21099" y="21337"/>
              <wp:lineTo x="21419" y="21337"/>
              <wp:lineTo x="21525" y="20546"/>
              <wp:lineTo x="21525" y="17780"/>
              <wp:lineTo x="20886" y="12644"/>
              <wp:lineTo x="21525" y="9483"/>
              <wp:lineTo x="21525" y="790"/>
              <wp:lineTo x="20034" y="395"/>
              <wp:lineTo x="6394" y="0"/>
              <wp:lineTo x="0" y="0"/>
            </wp:wrapPolygon>
          </wp:wrapTight>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1435" cy="1041400"/>
                  </a:xfrm>
                  <a:prstGeom prst="rect">
                    <a:avLst/>
                  </a:prstGeom>
                  <a:noFill/>
                  <a:ln w="9525">
                    <a:noFill/>
                    <a:miter lim="800000"/>
                    <a:headEnd/>
                    <a:tailEnd/>
                  </a:ln>
                </pic:spPr>
              </pic:pic>
            </a:graphicData>
          </a:graphic>
        </wp:anchor>
      </w:drawing>
    </w:r>
    <w:bookmarkEnd w:id="0"/>
    <w:r w:rsidR="00811F1F">
      <w:rPr>
        <w:noProof/>
      </w:rPr>
      <w:drawing>
        <wp:anchor distT="0" distB="0" distL="114300" distR="114300" simplePos="0" relativeHeight="251658752" behindDoc="0" locked="0" layoutInCell="1" allowOverlap="1">
          <wp:simplePos x="0" y="0"/>
          <wp:positionH relativeFrom="column">
            <wp:posOffset>-209550</wp:posOffset>
          </wp:positionH>
          <wp:positionV relativeFrom="paragraph">
            <wp:posOffset>-251460</wp:posOffset>
          </wp:positionV>
          <wp:extent cx="2212340" cy="124206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6-14 at 14.11.04.jpeg"/>
                  <pic:cNvPicPr/>
                </pic:nvPicPr>
                <pic:blipFill>
                  <a:blip r:embed="rId2">
                    <a:extLst>
                      <a:ext uri="{28A0092B-C50C-407E-A947-70E740481C1C}">
                        <a14:useLocalDpi xmlns:a14="http://schemas.microsoft.com/office/drawing/2010/main" val="0"/>
                      </a:ext>
                    </a:extLst>
                  </a:blip>
                  <a:stretch>
                    <a:fillRect/>
                  </a:stretch>
                </pic:blipFill>
                <pic:spPr>
                  <a:xfrm>
                    <a:off x="0" y="0"/>
                    <a:ext cx="2212340" cy="1242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1F" w:rsidRDefault="00811F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ABB"/>
    <w:multiLevelType w:val="hybridMultilevel"/>
    <w:tmpl w:val="B7A49462"/>
    <w:lvl w:ilvl="0" w:tplc="0C0A0001">
      <w:start w:val="1"/>
      <w:numFmt w:val="bullet"/>
      <w:lvlText w:val=""/>
      <w:lvlJc w:val="left"/>
      <w:pPr>
        <w:ind w:left="2912" w:hanging="360"/>
      </w:pPr>
      <w:rPr>
        <w:rFonts w:ascii="Symbol" w:hAnsi="Symbo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1" w15:restartNumberingAfterBreak="0">
    <w:nsid w:val="113F5FBC"/>
    <w:multiLevelType w:val="hybridMultilevel"/>
    <w:tmpl w:val="8FE4A22A"/>
    <w:lvl w:ilvl="0" w:tplc="2222B6BA">
      <w:start w:val="1100"/>
      <w:numFmt w:val="bullet"/>
      <w:lvlText w:val=""/>
      <w:lvlJc w:val="left"/>
      <w:pPr>
        <w:ind w:left="765" w:hanging="405"/>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E16D9B"/>
    <w:multiLevelType w:val="hybridMultilevel"/>
    <w:tmpl w:val="5CDE1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DC82CBE"/>
    <w:multiLevelType w:val="hybridMultilevel"/>
    <w:tmpl w:val="5B5413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0914C3"/>
    <w:multiLevelType w:val="hybridMultilevel"/>
    <w:tmpl w:val="CA62BD84"/>
    <w:lvl w:ilvl="0" w:tplc="7ABE7234">
      <w:start w:val="1"/>
      <w:numFmt w:val="decimal"/>
      <w:lvlText w:val="%1."/>
      <w:lvlJc w:val="left"/>
      <w:pPr>
        <w:ind w:left="436" w:hanging="360"/>
      </w:pPr>
      <w:rPr>
        <w:rFonts w:cs="Arial" w:hint="default"/>
        <w:b/>
        <w:color w:val="C00000"/>
        <w:u w:val="single"/>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5" w15:restartNumberingAfterBreak="0">
    <w:nsid w:val="27355A19"/>
    <w:multiLevelType w:val="hybridMultilevel"/>
    <w:tmpl w:val="715A1970"/>
    <w:lvl w:ilvl="0" w:tplc="0C0A0001">
      <w:start w:val="1"/>
      <w:numFmt w:val="bullet"/>
      <w:lvlText w:val=""/>
      <w:lvlJc w:val="left"/>
      <w:pPr>
        <w:ind w:left="2760" w:hanging="360"/>
      </w:pPr>
      <w:rPr>
        <w:rFonts w:ascii="Symbol" w:hAnsi="Symbol" w:hint="default"/>
      </w:rPr>
    </w:lvl>
    <w:lvl w:ilvl="1" w:tplc="0C0A0003" w:tentative="1">
      <w:start w:val="1"/>
      <w:numFmt w:val="bullet"/>
      <w:lvlText w:val="o"/>
      <w:lvlJc w:val="left"/>
      <w:pPr>
        <w:ind w:left="3480" w:hanging="360"/>
      </w:pPr>
      <w:rPr>
        <w:rFonts w:ascii="Courier New" w:hAnsi="Courier New" w:cs="Courier New" w:hint="default"/>
      </w:rPr>
    </w:lvl>
    <w:lvl w:ilvl="2" w:tplc="0C0A0005" w:tentative="1">
      <w:start w:val="1"/>
      <w:numFmt w:val="bullet"/>
      <w:lvlText w:val=""/>
      <w:lvlJc w:val="left"/>
      <w:pPr>
        <w:ind w:left="4200" w:hanging="360"/>
      </w:pPr>
      <w:rPr>
        <w:rFonts w:ascii="Wingdings" w:hAnsi="Wingdings" w:hint="default"/>
      </w:rPr>
    </w:lvl>
    <w:lvl w:ilvl="3" w:tplc="0C0A0001" w:tentative="1">
      <w:start w:val="1"/>
      <w:numFmt w:val="bullet"/>
      <w:lvlText w:val=""/>
      <w:lvlJc w:val="left"/>
      <w:pPr>
        <w:ind w:left="4920" w:hanging="360"/>
      </w:pPr>
      <w:rPr>
        <w:rFonts w:ascii="Symbol" w:hAnsi="Symbol" w:hint="default"/>
      </w:rPr>
    </w:lvl>
    <w:lvl w:ilvl="4" w:tplc="0C0A0003" w:tentative="1">
      <w:start w:val="1"/>
      <w:numFmt w:val="bullet"/>
      <w:lvlText w:val="o"/>
      <w:lvlJc w:val="left"/>
      <w:pPr>
        <w:ind w:left="5640" w:hanging="360"/>
      </w:pPr>
      <w:rPr>
        <w:rFonts w:ascii="Courier New" w:hAnsi="Courier New" w:cs="Courier New" w:hint="default"/>
      </w:rPr>
    </w:lvl>
    <w:lvl w:ilvl="5" w:tplc="0C0A0005" w:tentative="1">
      <w:start w:val="1"/>
      <w:numFmt w:val="bullet"/>
      <w:lvlText w:val=""/>
      <w:lvlJc w:val="left"/>
      <w:pPr>
        <w:ind w:left="6360" w:hanging="360"/>
      </w:pPr>
      <w:rPr>
        <w:rFonts w:ascii="Wingdings" w:hAnsi="Wingdings" w:hint="default"/>
      </w:rPr>
    </w:lvl>
    <w:lvl w:ilvl="6" w:tplc="0C0A0001" w:tentative="1">
      <w:start w:val="1"/>
      <w:numFmt w:val="bullet"/>
      <w:lvlText w:val=""/>
      <w:lvlJc w:val="left"/>
      <w:pPr>
        <w:ind w:left="7080" w:hanging="360"/>
      </w:pPr>
      <w:rPr>
        <w:rFonts w:ascii="Symbol" w:hAnsi="Symbol" w:hint="default"/>
      </w:rPr>
    </w:lvl>
    <w:lvl w:ilvl="7" w:tplc="0C0A0003" w:tentative="1">
      <w:start w:val="1"/>
      <w:numFmt w:val="bullet"/>
      <w:lvlText w:val="o"/>
      <w:lvlJc w:val="left"/>
      <w:pPr>
        <w:ind w:left="7800" w:hanging="360"/>
      </w:pPr>
      <w:rPr>
        <w:rFonts w:ascii="Courier New" w:hAnsi="Courier New" w:cs="Courier New" w:hint="default"/>
      </w:rPr>
    </w:lvl>
    <w:lvl w:ilvl="8" w:tplc="0C0A0005" w:tentative="1">
      <w:start w:val="1"/>
      <w:numFmt w:val="bullet"/>
      <w:lvlText w:val=""/>
      <w:lvlJc w:val="left"/>
      <w:pPr>
        <w:ind w:left="8520" w:hanging="360"/>
      </w:pPr>
      <w:rPr>
        <w:rFonts w:ascii="Wingdings" w:hAnsi="Wingdings" w:hint="default"/>
      </w:rPr>
    </w:lvl>
  </w:abstractNum>
  <w:abstractNum w:abstractNumId="6" w15:restartNumberingAfterBreak="0">
    <w:nsid w:val="28822F65"/>
    <w:multiLevelType w:val="hybridMultilevel"/>
    <w:tmpl w:val="E81279E2"/>
    <w:lvl w:ilvl="0" w:tplc="DF24FCF4">
      <w:start w:val="1"/>
      <w:numFmt w:val="decimal"/>
      <w:lvlText w:val="%1."/>
      <w:lvlJc w:val="left"/>
      <w:pPr>
        <w:ind w:left="76" w:hanging="360"/>
      </w:pPr>
      <w:rPr>
        <w:rFonts w:cs="Arial" w:hint="default"/>
        <w:b/>
        <w:color w:val="C00000"/>
        <w:sz w:val="32"/>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2905607A"/>
    <w:multiLevelType w:val="hybridMultilevel"/>
    <w:tmpl w:val="29EEED60"/>
    <w:lvl w:ilvl="0" w:tplc="0C0A0001">
      <w:start w:val="1"/>
      <w:numFmt w:val="bullet"/>
      <w:lvlText w:val=""/>
      <w:lvlJc w:val="left"/>
      <w:pPr>
        <w:ind w:left="1095" w:hanging="360"/>
      </w:pPr>
      <w:rPr>
        <w:rFonts w:ascii="Symbol" w:hAnsi="Symbol" w:hint="default"/>
      </w:rPr>
    </w:lvl>
    <w:lvl w:ilvl="1" w:tplc="0C0A0003">
      <w:start w:val="1"/>
      <w:numFmt w:val="bullet"/>
      <w:lvlText w:val="o"/>
      <w:lvlJc w:val="left"/>
      <w:pPr>
        <w:ind w:left="1815" w:hanging="360"/>
      </w:pPr>
      <w:rPr>
        <w:rFonts w:ascii="Courier New" w:hAnsi="Courier New" w:cs="Courier New" w:hint="default"/>
      </w:rPr>
    </w:lvl>
    <w:lvl w:ilvl="2" w:tplc="0C0A0005">
      <w:start w:val="1"/>
      <w:numFmt w:val="bullet"/>
      <w:lvlText w:val=""/>
      <w:lvlJc w:val="left"/>
      <w:pPr>
        <w:ind w:left="2535" w:hanging="360"/>
      </w:pPr>
      <w:rPr>
        <w:rFonts w:ascii="Wingdings" w:hAnsi="Wingdings" w:hint="default"/>
      </w:rPr>
    </w:lvl>
    <w:lvl w:ilvl="3" w:tplc="0C0A000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8" w15:restartNumberingAfterBreak="0">
    <w:nsid w:val="29136989"/>
    <w:multiLevelType w:val="hybridMultilevel"/>
    <w:tmpl w:val="0318FC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BA3745"/>
    <w:multiLevelType w:val="hybridMultilevel"/>
    <w:tmpl w:val="37787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6335E2"/>
    <w:multiLevelType w:val="hybridMultilevel"/>
    <w:tmpl w:val="95242148"/>
    <w:lvl w:ilvl="0" w:tplc="D164967C">
      <w:start w:val="5"/>
      <w:numFmt w:val="decimal"/>
      <w:lvlText w:val="%1"/>
      <w:lvlJc w:val="left"/>
      <w:pPr>
        <w:ind w:left="10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4579EF"/>
    <w:multiLevelType w:val="hybridMultilevel"/>
    <w:tmpl w:val="390CCD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9154AE"/>
    <w:multiLevelType w:val="hybridMultilevel"/>
    <w:tmpl w:val="98927E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D10C7B"/>
    <w:multiLevelType w:val="hybridMultilevel"/>
    <w:tmpl w:val="F76A4C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DB7CC0"/>
    <w:multiLevelType w:val="multilevel"/>
    <w:tmpl w:val="6DA4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0042E9"/>
    <w:multiLevelType w:val="hybridMultilevel"/>
    <w:tmpl w:val="6414C6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04A4C"/>
    <w:multiLevelType w:val="hybridMultilevel"/>
    <w:tmpl w:val="F3C691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8C1A55"/>
    <w:multiLevelType w:val="multilevel"/>
    <w:tmpl w:val="C1CAF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7355FE"/>
    <w:multiLevelType w:val="hybridMultilevel"/>
    <w:tmpl w:val="4DA08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A430C7"/>
    <w:multiLevelType w:val="multilevel"/>
    <w:tmpl w:val="A2C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DA6EBF"/>
    <w:multiLevelType w:val="hybridMultilevel"/>
    <w:tmpl w:val="6E1E0B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8A12A4"/>
    <w:multiLevelType w:val="hybridMultilevel"/>
    <w:tmpl w:val="063C7C0E"/>
    <w:lvl w:ilvl="0" w:tplc="D164967C">
      <w:start w:val="5"/>
      <w:numFmt w:val="decimal"/>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22" w15:restartNumberingAfterBreak="0">
    <w:nsid w:val="569024A3"/>
    <w:multiLevelType w:val="hybridMultilevel"/>
    <w:tmpl w:val="C7B03EC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2962903"/>
    <w:multiLevelType w:val="hybridMultilevel"/>
    <w:tmpl w:val="16FADB3E"/>
    <w:lvl w:ilvl="0" w:tplc="AF3651EA">
      <w:start w:val="1"/>
      <w:numFmt w:val="decimal"/>
      <w:lvlText w:val="%1."/>
      <w:lvlJc w:val="left"/>
      <w:pPr>
        <w:ind w:left="796" w:hanging="360"/>
      </w:pPr>
      <w:rPr>
        <w:rFonts w:cs="Arial" w:hint="default"/>
        <w:b/>
        <w:color w:val="C00000"/>
        <w:u w:val="single"/>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24" w15:restartNumberingAfterBreak="0">
    <w:nsid w:val="75865873"/>
    <w:multiLevelType w:val="multilevel"/>
    <w:tmpl w:val="19A0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2E531B"/>
    <w:multiLevelType w:val="hybridMultilevel"/>
    <w:tmpl w:val="9E0CE33E"/>
    <w:lvl w:ilvl="0" w:tplc="D164967C">
      <w:start w:val="5"/>
      <w:numFmt w:val="decimal"/>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26" w15:restartNumberingAfterBreak="0">
    <w:nsid w:val="783900BE"/>
    <w:multiLevelType w:val="hybridMultilevel"/>
    <w:tmpl w:val="CD0A8268"/>
    <w:lvl w:ilvl="0" w:tplc="0C0A000B">
      <w:start w:val="1"/>
      <w:numFmt w:val="bullet"/>
      <w:lvlText w:val=""/>
      <w:lvlJc w:val="left"/>
      <w:pPr>
        <w:tabs>
          <w:tab w:val="num" w:pos="720"/>
        </w:tabs>
        <w:ind w:left="720" w:hanging="360"/>
      </w:pPr>
      <w:rPr>
        <w:rFonts w:ascii="B" w:hAnsi="B" w:hint="default"/>
      </w:rPr>
    </w:lvl>
    <w:lvl w:ilvl="1" w:tplc="0C0A0003">
      <w:start w:val="1"/>
      <w:numFmt w:val="bullet"/>
      <w:lvlText w:val="o"/>
      <w:lvlJc w:val="left"/>
      <w:pPr>
        <w:tabs>
          <w:tab w:val="num" w:pos="1440"/>
        </w:tabs>
        <w:ind w:left="1440" w:hanging="360"/>
      </w:pPr>
      <w:rPr>
        <w:rFonts w:ascii="L" w:hAnsi="L" w:hint="default"/>
      </w:rPr>
    </w:lvl>
    <w:lvl w:ilvl="2" w:tplc="0C0A0005">
      <w:start w:val="1"/>
      <w:numFmt w:val="bullet"/>
      <w:lvlText w:val=""/>
      <w:lvlJc w:val="left"/>
      <w:pPr>
        <w:tabs>
          <w:tab w:val="num" w:pos="2160"/>
        </w:tabs>
        <w:ind w:left="2160" w:hanging="360"/>
      </w:pPr>
      <w:rPr>
        <w:rFonts w:ascii="B" w:hAnsi="B"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L" w:hAnsi="L" w:hint="default"/>
      </w:rPr>
    </w:lvl>
    <w:lvl w:ilvl="5" w:tplc="0C0A0005">
      <w:start w:val="1"/>
      <w:numFmt w:val="bullet"/>
      <w:lvlText w:val=""/>
      <w:lvlJc w:val="left"/>
      <w:pPr>
        <w:tabs>
          <w:tab w:val="num" w:pos="4320"/>
        </w:tabs>
        <w:ind w:left="4320" w:hanging="360"/>
      </w:pPr>
      <w:rPr>
        <w:rFonts w:ascii="B" w:hAnsi="B"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L" w:hAnsi="L" w:hint="default"/>
      </w:rPr>
    </w:lvl>
    <w:lvl w:ilvl="8" w:tplc="0C0A0005">
      <w:start w:val="1"/>
      <w:numFmt w:val="bullet"/>
      <w:lvlText w:val=""/>
      <w:lvlJc w:val="left"/>
      <w:pPr>
        <w:tabs>
          <w:tab w:val="num" w:pos="6480"/>
        </w:tabs>
        <w:ind w:left="6480" w:hanging="360"/>
      </w:pPr>
      <w:rPr>
        <w:rFonts w:ascii="B" w:hAnsi="B" w:hint="default"/>
      </w:rPr>
    </w:lvl>
  </w:abstractNum>
  <w:abstractNum w:abstractNumId="27" w15:restartNumberingAfterBreak="0">
    <w:nsid w:val="7C5D4095"/>
    <w:multiLevelType w:val="multilevel"/>
    <w:tmpl w:val="8744A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num>
  <w:num w:numId="3">
    <w:abstractNumId w:val="25"/>
  </w:num>
  <w:num w:numId="4">
    <w:abstractNumId w:val="21"/>
  </w:num>
  <w:num w:numId="5">
    <w:abstractNumId w:val="10"/>
  </w:num>
  <w:num w:numId="6">
    <w:abstractNumId w:val="7"/>
  </w:num>
  <w:num w:numId="7">
    <w:abstractNumId w:val="2"/>
  </w:num>
  <w:num w:numId="8">
    <w:abstractNumId w:val="6"/>
  </w:num>
  <w:num w:numId="9">
    <w:abstractNumId w:val="4"/>
  </w:num>
  <w:num w:numId="10">
    <w:abstractNumId w:val="23"/>
  </w:num>
  <w:num w:numId="11">
    <w:abstractNumId w:val="19"/>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5"/>
  </w:num>
  <w:num w:numId="22">
    <w:abstractNumId w:val="15"/>
  </w:num>
  <w:num w:numId="23">
    <w:abstractNumId w:val="20"/>
  </w:num>
  <w:num w:numId="24">
    <w:abstractNumId w:val="12"/>
  </w:num>
  <w:num w:numId="25">
    <w:abstractNumId w:val="9"/>
  </w:num>
  <w:num w:numId="26">
    <w:abstractNumId w:val="11"/>
  </w:num>
  <w:num w:numId="27">
    <w:abstractNumId w:val="13"/>
  </w:num>
  <w:num w:numId="28">
    <w:abstractNumId w:val="18"/>
  </w:num>
  <w:num w:numId="29">
    <w:abstractNumId w:val="16"/>
  </w:num>
  <w:num w:numId="30">
    <w:abstractNumId w:val="26"/>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4B"/>
    <w:rsid w:val="00005C13"/>
    <w:rsid w:val="000152CE"/>
    <w:rsid w:val="0004553E"/>
    <w:rsid w:val="000C364B"/>
    <w:rsid w:val="000C3DC7"/>
    <w:rsid w:val="000C726F"/>
    <w:rsid w:val="00104266"/>
    <w:rsid w:val="0011077E"/>
    <w:rsid w:val="0011449E"/>
    <w:rsid w:val="001152F6"/>
    <w:rsid w:val="00117992"/>
    <w:rsid w:val="00117F9A"/>
    <w:rsid w:val="00173558"/>
    <w:rsid w:val="00176BBE"/>
    <w:rsid w:val="001925A7"/>
    <w:rsid w:val="00194282"/>
    <w:rsid w:val="001A2DE6"/>
    <w:rsid w:val="001B1234"/>
    <w:rsid w:val="001B7B2E"/>
    <w:rsid w:val="001C1255"/>
    <w:rsid w:val="002017E5"/>
    <w:rsid w:val="00206030"/>
    <w:rsid w:val="00224F2E"/>
    <w:rsid w:val="00231F31"/>
    <w:rsid w:val="00266806"/>
    <w:rsid w:val="00270D36"/>
    <w:rsid w:val="00272041"/>
    <w:rsid w:val="002A163C"/>
    <w:rsid w:val="002F77F8"/>
    <w:rsid w:val="003100EA"/>
    <w:rsid w:val="00313A3F"/>
    <w:rsid w:val="00320726"/>
    <w:rsid w:val="00351BC8"/>
    <w:rsid w:val="00387370"/>
    <w:rsid w:val="00387638"/>
    <w:rsid w:val="003A0520"/>
    <w:rsid w:val="003A0FD5"/>
    <w:rsid w:val="003A618F"/>
    <w:rsid w:val="003E1975"/>
    <w:rsid w:val="003E4455"/>
    <w:rsid w:val="00401543"/>
    <w:rsid w:val="00412AFD"/>
    <w:rsid w:val="0043012E"/>
    <w:rsid w:val="00441F17"/>
    <w:rsid w:val="00455B48"/>
    <w:rsid w:val="00464C09"/>
    <w:rsid w:val="00482055"/>
    <w:rsid w:val="00486D59"/>
    <w:rsid w:val="00495C4D"/>
    <w:rsid w:val="004A3902"/>
    <w:rsid w:val="004B56C1"/>
    <w:rsid w:val="004B5C50"/>
    <w:rsid w:val="004B7FB5"/>
    <w:rsid w:val="004C64A5"/>
    <w:rsid w:val="004E19A6"/>
    <w:rsid w:val="004E4A39"/>
    <w:rsid w:val="004F1D81"/>
    <w:rsid w:val="004F528C"/>
    <w:rsid w:val="004F7E6C"/>
    <w:rsid w:val="005254B1"/>
    <w:rsid w:val="00526E81"/>
    <w:rsid w:val="00551EE2"/>
    <w:rsid w:val="00552A93"/>
    <w:rsid w:val="005603A6"/>
    <w:rsid w:val="00583768"/>
    <w:rsid w:val="005A123B"/>
    <w:rsid w:val="005A580F"/>
    <w:rsid w:val="005B6F31"/>
    <w:rsid w:val="005D58B2"/>
    <w:rsid w:val="005E4C25"/>
    <w:rsid w:val="005F057C"/>
    <w:rsid w:val="005F08DC"/>
    <w:rsid w:val="00601375"/>
    <w:rsid w:val="00604768"/>
    <w:rsid w:val="00633317"/>
    <w:rsid w:val="00635402"/>
    <w:rsid w:val="006550C0"/>
    <w:rsid w:val="006752BA"/>
    <w:rsid w:val="00677BE6"/>
    <w:rsid w:val="006802CF"/>
    <w:rsid w:val="00682634"/>
    <w:rsid w:val="006953D3"/>
    <w:rsid w:val="006B0596"/>
    <w:rsid w:val="006B1085"/>
    <w:rsid w:val="006E796E"/>
    <w:rsid w:val="00713C99"/>
    <w:rsid w:val="0071523A"/>
    <w:rsid w:val="00733E87"/>
    <w:rsid w:val="007554D7"/>
    <w:rsid w:val="00763E27"/>
    <w:rsid w:val="00776CD9"/>
    <w:rsid w:val="007911AB"/>
    <w:rsid w:val="007A17E9"/>
    <w:rsid w:val="007D19DA"/>
    <w:rsid w:val="007E10E0"/>
    <w:rsid w:val="007E7B8A"/>
    <w:rsid w:val="007F7B96"/>
    <w:rsid w:val="00811F1F"/>
    <w:rsid w:val="0081481A"/>
    <w:rsid w:val="008340C4"/>
    <w:rsid w:val="00834C51"/>
    <w:rsid w:val="00844E6E"/>
    <w:rsid w:val="00853F40"/>
    <w:rsid w:val="00865EE1"/>
    <w:rsid w:val="00872348"/>
    <w:rsid w:val="00874ECF"/>
    <w:rsid w:val="008A0D27"/>
    <w:rsid w:val="008E3659"/>
    <w:rsid w:val="008E637F"/>
    <w:rsid w:val="0090534C"/>
    <w:rsid w:val="00907CCF"/>
    <w:rsid w:val="009120F8"/>
    <w:rsid w:val="00914E5E"/>
    <w:rsid w:val="00934C7E"/>
    <w:rsid w:val="009550DF"/>
    <w:rsid w:val="0095758E"/>
    <w:rsid w:val="009727C9"/>
    <w:rsid w:val="0098008A"/>
    <w:rsid w:val="00984E9F"/>
    <w:rsid w:val="009851B7"/>
    <w:rsid w:val="009C2275"/>
    <w:rsid w:val="009D64F5"/>
    <w:rsid w:val="009D689C"/>
    <w:rsid w:val="009D7F95"/>
    <w:rsid w:val="009F0B53"/>
    <w:rsid w:val="00A26559"/>
    <w:rsid w:val="00A30EAD"/>
    <w:rsid w:val="00A63585"/>
    <w:rsid w:val="00A63637"/>
    <w:rsid w:val="00A82707"/>
    <w:rsid w:val="00A92955"/>
    <w:rsid w:val="00AA4F2C"/>
    <w:rsid w:val="00AA4F3E"/>
    <w:rsid w:val="00AB5910"/>
    <w:rsid w:val="00AE06E3"/>
    <w:rsid w:val="00AE7643"/>
    <w:rsid w:val="00AF1A93"/>
    <w:rsid w:val="00AF45A1"/>
    <w:rsid w:val="00B11925"/>
    <w:rsid w:val="00B3037B"/>
    <w:rsid w:val="00B44FF1"/>
    <w:rsid w:val="00B45DA8"/>
    <w:rsid w:val="00B70E35"/>
    <w:rsid w:val="00BA2B8E"/>
    <w:rsid w:val="00BA4C30"/>
    <w:rsid w:val="00BD7E3D"/>
    <w:rsid w:val="00BE2F0A"/>
    <w:rsid w:val="00C25BAA"/>
    <w:rsid w:val="00C326A1"/>
    <w:rsid w:val="00C60D0A"/>
    <w:rsid w:val="00C673A6"/>
    <w:rsid w:val="00C70362"/>
    <w:rsid w:val="00C8260D"/>
    <w:rsid w:val="00C9523D"/>
    <w:rsid w:val="00CC03D5"/>
    <w:rsid w:val="00CC529C"/>
    <w:rsid w:val="00CF0E62"/>
    <w:rsid w:val="00D02EB4"/>
    <w:rsid w:val="00D10E2A"/>
    <w:rsid w:val="00D1482F"/>
    <w:rsid w:val="00D3340B"/>
    <w:rsid w:val="00D42A3F"/>
    <w:rsid w:val="00D457E1"/>
    <w:rsid w:val="00D5734D"/>
    <w:rsid w:val="00D704A5"/>
    <w:rsid w:val="00D84AF1"/>
    <w:rsid w:val="00DD7CCD"/>
    <w:rsid w:val="00DF47AB"/>
    <w:rsid w:val="00E07F08"/>
    <w:rsid w:val="00E10FE2"/>
    <w:rsid w:val="00E110EA"/>
    <w:rsid w:val="00E35B00"/>
    <w:rsid w:val="00E36D4E"/>
    <w:rsid w:val="00E4167D"/>
    <w:rsid w:val="00E43146"/>
    <w:rsid w:val="00E64DB8"/>
    <w:rsid w:val="00E71F72"/>
    <w:rsid w:val="00E8269F"/>
    <w:rsid w:val="00E945A9"/>
    <w:rsid w:val="00EA5337"/>
    <w:rsid w:val="00EB4D25"/>
    <w:rsid w:val="00F46D2D"/>
    <w:rsid w:val="00F653F6"/>
    <w:rsid w:val="00F6705E"/>
    <w:rsid w:val="00F779F5"/>
    <w:rsid w:val="00F81B13"/>
    <w:rsid w:val="00FA0DCF"/>
    <w:rsid w:val="00FA743E"/>
    <w:rsid w:val="00FB4E59"/>
    <w:rsid w:val="00FC05BB"/>
    <w:rsid w:val="00FD0548"/>
    <w:rsid w:val="00FD3A80"/>
    <w:rsid w:val="00FD4491"/>
    <w:rsid w:val="00FE1568"/>
    <w:rsid w:val="00FF1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7781F"/>
  <w15:docId w15:val="{A768F72B-2C44-4699-B959-CAECDF0C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F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7C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727C9"/>
    <w:rPr>
      <w:rFonts w:ascii="Tahoma" w:hAnsi="Tahoma" w:cs="Tahoma"/>
      <w:sz w:val="16"/>
      <w:szCs w:val="16"/>
    </w:rPr>
  </w:style>
  <w:style w:type="table" w:styleId="Tablaconcuadrcula">
    <w:name w:val="Table Grid"/>
    <w:basedOn w:val="Tablanormal"/>
    <w:uiPriority w:val="59"/>
    <w:rsid w:val="00972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1925A7"/>
    <w:pPr>
      <w:ind w:left="720"/>
      <w:contextualSpacing/>
    </w:pPr>
  </w:style>
  <w:style w:type="paragraph" w:styleId="Encabezado">
    <w:name w:val="header"/>
    <w:basedOn w:val="Normal"/>
    <w:link w:val="EncabezadoCar"/>
    <w:uiPriority w:val="99"/>
    <w:unhideWhenUsed/>
    <w:rsid w:val="00FD44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491"/>
    <w:rPr>
      <w:sz w:val="22"/>
      <w:szCs w:val="22"/>
    </w:rPr>
  </w:style>
  <w:style w:type="paragraph" w:styleId="Piedepgina">
    <w:name w:val="footer"/>
    <w:basedOn w:val="Normal"/>
    <w:link w:val="PiedepginaCar"/>
    <w:uiPriority w:val="99"/>
    <w:unhideWhenUsed/>
    <w:rsid w:val="00FD44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491"/>
    <w:rPr>
      <w:sz w:val="22"/>
      <w:szCs w:val="22"/>
    </w:rPr>
  </w:style>
  <w:style w:type="character" w:styleId="Textoennegrita">
    <w:name w:val="Strong"/>
    <w:basedOn w:val="Fuentedeprrafopredeter"/>
    <w:uiPriority w:val="22"/>
    <w:qFormat/>
    <w:rsid w:val="00914E5E"/>
    <w:rPr>
      <w:b/>
      <w:bCs/>
    </w:rPr>
  </w:style>
  <w:style w:type="character" w:customStyle="1" w:styleId="unknown">
    <w:name w:val="unknown"/>
    <w:basedOn w:val="Fuentedeprrafopredeter"/>
    <w:rsid w:val="00C60D0A"/>
    <w:rPr>
      <w:color w:val="FF0000"/>
    </w:rPr>
  </w:style>
  <w:style w:type="paragraph" w:customStyle="1" w:styleId="Default">
    <w:name w:val="Default"/>
    <w:rsid w:val="00441F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3243">
      <w:bodyDiv w:val="1"/>
      <w:marLeft w:val="0"/>
      <w:marRight w:val="0"/>
      <w:marTop w:val="0"/>
      <w:marBottom w:val="0"/>
      <w:divBdr>
        <w:top w:val="none" w:sz="0" w:space="0" w:color="auto"/>
        <w:left w:val="none" w:sz="0" w:space="0" w:color="auto"/>
        <w:bottom w:val="none" w:sz="0" w:space="0" w:color="auto"/>
        <w:right w:val="none" w:sz="0" w:space="0" w:color="auto"/>
      </w:divBdr>
    </w:div>
    <w:div w:id="515510120">
      <w:bodyDiv w:val="1"/>
      <w:marLeft w:val="0"/>
      <w:marRight w:val="0"/>
      <w:marTop w:val="0"/>
      <w:marBottom w:val="0"/>
      <w:divBdr>
        <w:top w:val="none" w:sz="0" w:space="0" w:color="auto"/>
        <w:left w:val="none" w:sz="0" w:space="0" w:color="auto"/>
        <w:bottom w:val="none" w:sz="0" w:space="0" w:color="auto"/>
        <w:right w:val="none" w:sz="0" w:space="0" w:color="auto"/>
      </w:divBdr>
    </w:div>
    <w:div w:id="14364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20A8F-8829-4304-94F3-D2BBCCE3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Microsoft Word - Informa_t_apertura_listas.doc</vt:lpstr>
    </vt:vector>
  </TitlesOfParts>
  <Company>www.intercambiosvirtuales.org</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Informa_t_apertura_listas.doc</dc:title>
  <dc:creator>magomezbu</dc:creator>
  <cp:lastModifiedBy>www.intercambiosvirtuales.org</cp:lastModifiedBy>
  <cp:revision>3</cp:revision>
  <cp:lastPrinted>2019-05-13T10:08:00Z</cp:lastPrinted>
  <dcterms:created xsi:type="dcterms:W3CDTF">2021-10-26T16:15:00Z</dcterms:created>
  <dcterms:modified xsi:type="dcterms:W3CDTF">2021-10-26T16:15:00Z</dcterms:modified>
</cp:coreProperties>
</file>